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4B0E5" w14:textId="77777777" w:rsidR="00404B6A" w:rsidRDefault="00404B6A">
      <w:pPr>
        <w:pBdr>
          <w:top w:val="nil"/>
          <w:left w:val="nil"/>
          <w:bottom w:val="nil"/>
          <w:right w:val="nil"/>
          <w:between w:val="nil"/>
        </w:pBdr>
        <w:tabs>
          <w:tab w:val="left" w:pos="1985"/>
        </w:tabs>
        <w:spacing w:before="120" w:after="120"/>
        <w:ind w:left="1656" w:hanging="720"/>
        <w:rPr>
          <w:rFonts w:ascii="Arial" w:eastAsia="Arial" w:hAnsi="Arial"/>
          <w:b/>
          <w:color w:val="000000"/>
          <w:sz w:val="36"/>
          <w:szCs w:val="36"/>
        </w:rPr>
      </w:pPr>
    </w:p>
    <w:p w14:paraId="1A74B0E6" w14:textId="77777777" w:rsidR="00404B6A" w:rsidRDefault="00C812A3">
      <w:pPr>
        <w:keepNext/>
        <w:jc w:val="left"/>
        <w:rPr>
          <w:rFonts w:ascii="Arial" w:eastAsia="Arial" w:hAnsi="Arial"/>
          <w:b/>
          <w:sz w:val="36"/>
          <w:szCs w:val="36"/>
        </w:rPr>
      </w:pPr>
      <w:r>
        <w:rPr>
          <w:rFonts w:ascii="Arial" w:eastAsia="Arial" w:hAnsi="Arial"/>
          <w:b/>
          <w:sz w:val="36"/>
          <w:szCs w:val="36"/>
        </w:rPr>
        <w:t>Call-Off Schedule 16 (Benchmarking)</w:t>
      </w:r>
    </w:p>
    <w:p w14:paraId="1A74B0E7" w14:textId="77777777" w:rsidR="00404B6A" w:rsidRDefault="00C812A3">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DEFINITIONS</w:t>
      </w:r>
    </w:p>
    <w:p w14:paraId="1A74B0E8" w14:textId="77777777" w:rsidR="00404B6A" w:rsidRDefault="00C812A3">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expressions shall have the following meanings:</w:t>
      </w:r>
    </w:p>
    <w:tbl>
      <w:tblPr>
        <w:tblStyle w:val="a0"/>
        <w:tblW w:w="8042" w:type="dxa"/>
        <w:tblInd w:w="1008" w:type="dxa"/>
        <w:tblLayout w:type="fixed"/>
        <w:tblLook w:val="0400" w:firstRow="0" w:lastRow="0" w:firstColumn="0" w:lastColumn="0" w:noHBand="0" w:noVBand="1"/>
      </w:tblPr>
      <w:tblGrid>
        <w:gridCol w:w="2900"/>
        <w:gridCol w:w="5142"/>
      </w:tblGrid>
      <w:tr w:rsidR="00404B6A" w14:paraId="1A74B0EB" w14:textId="77777777">
        <w:tc>
          <w:tcPr>
            <w:tcW w:w="2900" w:type="dxa"/>
            <w:shd w:val="clear" w:color="auto" w:fill="auto"/>
          </w:tcPr>
          <w:p w14:paraId="1A74B0E9" w14:textId="77777777" w:rsidR="00404B6A" w:rsidRDefault="00C812A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"Benchmark Review"</w:t>
            </w:r>
          </w:p>
        </w:tc>
        <w:tc>
          <w:tcPr>
            <w:tcW w:w="5142" w:type="dxa"/>
            <w:shd w:val="clear" w:color="auto" w:fill="auto"/>
          </w:tcPr>
          <w:p w14:paraId="1A74B0EA" w14:textId="77777777" w:rsidR="00404B6A" w:rsidRDefault="00C812A3">
            <w:pPr>
              <w:pBdr>
                <w:top w:val="nil"/>
                <w:left w:val="nil"/>
                <w:bottom w:val="nil"/>
                <w:right w:val="nil"/>
                <w:between w:val="nil"/>
              </w:pBdr>
              <w:tabs>
                <w:tab w:val="left" w:pos="175"/>
              </w:tabs>
              <w:spacing w:after="120"/>
              <w:ind w:left="170"/>
              <w:jc w:val="left"/>
              <w:rPr>
                <w:rFonts w:ascii="Arial" w:eastAsia="Arial" w:hAnsi="Arial"/>
                <w:color w:val="000000"/>
                <w:sz w:val="24"/>
                <w:szCs w:val="24"/>
              </w:rPr>
            </w:pPr>
            <w:r>
              <w:rPr>
                <w:rFonts w:ascii="Arial" w:eastAsia="Arial" w:hAnsi="Arial"/>
                <w:color w:val="000000"/>
                <w:sz w:val="24"/>
                <w:szCs w:val="24"/>
              </w:rPr>
              <w:t>a review of the Deliverables carried out in accordance with this Schedule to determine whether those Deliverables represent Good Value;</w:t>
            </w:r>
          </w:p>
        </w:tc>
      </w:tr>
      <w:tr w:rsidR="00404B6A" w14:paraId="1A74B0EE" w14:textId="77777777">
        <w:tc>
          <w:tcPr>
            <w:tcW w:w="2900" w:type="dxa"/>
            <w:shd w:val="clear" w:color="auto" w:fill="auto"/>
          </w:tcPr>
          <w:p w14:paraId="1A74B0EC" w14:textId="77777777" w:rsidR="00404B6A" w:rsidRDefault="00C812A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"Benchmarked Deliverables"</w:t>
            </w:r>
          </w:p>
        </w:tc>
        <w:tc>
          <w:tcPr>
            <w:tcW w:w="5142" w:type="dxa"/>
            <w:shd w:val="clear" w:color="auto" w:fill="auto"/>
          </w:tcPr>
          <w:p w14:paraId="1A74B0ED" w14:textId="77777777" w:rsidR="00404B6A" w:rsidRDefault="00C812A3">
            <w:pPr>
              <w:pBdr>
                <w:top w:val="nil"/>
                <w:left w:val="nil"/>
                <w:bottom w:val="nil"/>
                <w:right w:val="nil"/>
                <w:between w:val="nil"/>
              </w:pBdr>
              <w:tabs>
                <w:tab w:val="left" w:pos="175"/>
              </w:tabs>
              <w:spacing w:after="120"/>
              <w:ind w:left="170"/>
              <w:jc w:val="left"/>
              <w:rPr>
                <w:rFonts w:ascii="Arial" w:eastAsia="Arial" w:hAnsi="Arial"/>
                <w:color w:val="000000"/>
                <w:sz w:val="24"/>
                <w:szCs w:val="24"/>
              </w:rPr>
            </w:pPr>
            <w:r>
              <w:rPr>
                <w:rFonts w:ascii="Arial" w:eastAsia="Arial" w:hAnsi="Arial"/>
                <w:color w:val="000000"/>
                <w:sz w:val="24"/>
                <w:szCs w:val="24"/>
              </w:rPr>
              <w:t>any Deliverables included within the scope of a Benchmark Review pursuant to this Schedule;</w:t>
            </w:r>
          </w:p>
        </w:tc>
      </w:tr>
      <w:tr w:rsidR="00404B6A" w14:paraId="1A74B0F1" w14:textId="77777777">
        <w:tc>
          <w:tcPr>
            <w:tcW w:w="2900" w:type="dxa"/>
            <w:shd w:val="clear" w:color="auto" w:fill="auto"/>
          </w:tcPr>
          <w:p w14:paraId="1A74B0EF" w14:textId="77777777" w:rsidR="00404B6A" w:rsidRDefault="00C812A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"Comparable Rates"</w:t>
            </w:r>
          </w:p>
        </w:tc>
        <w:tc>
          <w:tcPr>
            <w:tcW w:w="5142" w:type="dxa"/>
            <w:shd w:val="clear" w:color="auto" w:fill="auto"/>
          </w:tcPr>
          <w:p w14:paraId="1A74B0F0" w14:textId="77777777" w:rsidR="00404B6A" w:rsidRDefault="00C812A3">
            <w:pPr>
              <w:pBdr>
                <w:top w:val="nil"/>
                <w:left w:val="nil"/>
                <w:bottom w:val="nil"/>
                <w:right w:val="nil"/>
                <w:between w:val="nil"/>
              </w:pBdr>
              <w:tabs>
                <w:tab w:val="left" w:pos="175"/>
              </w:tabs>
              <w:spacing w:after="120"/>
              <w:ind w:left="170"/>
              <w:jc w:val="left"/>
              <w:rPr>
                <w:rFonts w:ascii="Arial" w:eastAsia="Arial" w:hAnsi="Arial"/>
                <w:color w:val="000000"/>
                <w:sz w:val="24"/>
                <w:szCs w:val="24"/>
              </w:rPr>
            </w:pPr>
            <w:r>
              <w:rPr>
                <w:rFonts w:ascii="Arial" w:eastAsia="Arial" w:hAnsi="Arial"/>
                <w:color w:val="000000"/>
                <w:sz w:val="24"/>
                <w:szCs w:val="24"/>
              </w:rPr>
              <w:t>the Charges for Comparable Deliverables;</w:t>
            </w:r>
          </w:p>
        </w:tc>
      </w:tr>
      <w:tr w:rsidR="00404B6A" w14:paraId="1A74B0F4" w14:textId="77777777">
        <w:tc>
          <w:tcPr>
            <w:tcW w:w="2900" w:type="dxa"/>
            <w:shd w:val="clear" w:color="auto" w:fill="auto"/>
          </w:tcPr>
          <w:p w14:paraId="1A74B0F2" w14:textId="77777777" w:rsidR="00404B6A" w:rsidRDefault="00C812A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"Comparable Deliverables"</w:t>
            </w:r>
          </w:p>
        </w:tc>
        <w:tc>
          <w:tcPr>
            <w:tcW w:w="5142" w:type="dxa"/>
            <w:shd w:val="clear" w:color="auto" w:fill="auto"/>
          </w:tcPr>
          <w:p w14:paraId="1A74B0F3" w14:textId="77777777" w:rsidR="00404B6A" w:rsidRDefault="00C812A3">
            <w:pPr>
              <w:pBdr>
                <w:top w:val="nil"/>
                <w:left w:val="nil"/>
                <w:bottom w:val="nil"/>
                <w:right w:val="nil"/>
                <w:between w:val="nil"/>
              </w:pBdr>
              <w:tabs>
                <w:tab w:val="left" w:pos="175"/>
              </w:tabs>
              <w:spacing w:after="120"/>
              <w:ind w:left="170"/>
              <w:jc w:val="left"/>
              <w:rPr>
                <w:rFonts w:ascii="Arial" w:eastAsia="Arial" w:hAnsi="Arial"/>
                <w:color w:val="000000"/>
                <w:sz w:val="24"/>
                <w:szCs w:val="24"/>
              </w:rPr>
            </w:pPr>
            <w:r>
              <w:rPr>
                <w:rFonts w:ascii="Arial" w:eastAsia="Arial" w:hAnsi="Arial"/>
                <w:color w:val="000000"/>
                <w:sz w:val="24"/>
                <w:szCs w:val="24"/>
              </w:rPr>
              <w:t xml:space="preserve">deliverables that are identical or materially similar to the Benchmarked Deliverables (including in terms of scope, specification, volume and quality of performance) provided that if no identical or materially similar Deliverables exist in the market, the </w:t>
            </w:r>
            <w:r>
              <w:rPr>
                <w:rFonts w:ascii="Arial" w:eastAsia="Arial" w:hAnsi="Arial"/>
                <w:color w:val="000000"/>
                <w:sz w:val="24"/>
                <w:szCs w:val="24"/>
              </w:rPr>
              <w:t xml:space="preserve">Supplier shall propose an approach for developing a </w:t>
            </w:r>
            <w:r>
              <w:rPr>
                <w:rFonts w:ascii="Arial" w:eastAsia="Arial" w:hAnsi="Arial"/>
                <w:sz w:val="24"/>
                <w:szCs w:val="24"/>
              </w:rPr>
              <w:t>C</w:t>
            </w:r>
            <w:r>
              <w:rPr>
                <w:rFonts w:ascii="Arial" w:eastAsia="Arial" w:hAnsi="Arial"/>
                <w:color w:val="000000"/>
                <w:sz w:val="24"/>
                <w:szCs w:val="24"/>
              </w:rPr>
              <w:t>omparable Deliverables benchmark;</w:t>
            </w:r>
          </w:p>
        </w:tc>
      </w:tr>
      <w:tr w:rsidR="00404B6A" w14:paraId="1A74B0F7" w14:textId="77777777">
        <w:tc>
          <w:tcPr>
            <w:tcW w:w="2900" w:type="dxa"/>
            <w:shd w:val="clear" w:color="auto" w:fill="auto"/>
          </w:tcPr>
          <w:p w14:paraId="1A74B0F5" w14:textId="77777777" w:rsidR="00404B6A" w:rsidRDefault="00C812A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"Comparison Group"</w:t>
            </w:r>
          </w:p>
        </w:tc>
        <w:tc>
          <w:tcPr>
            <w:tcW w:w="5142" w:type="dxa"/>
            <w:shd w:val="clear" w:color="auto" w:fill="auto"/>
          </w:tcPr>
          <w:p w14:paraId="1A74B0F6" w14:textId="77777777" w:rsidR="00404B6A" w:rsidRDefault="00C812A3">
            <w:pPr>
              <w:pBdr>
                <w:top w:val="nil"/>
                <w:left w:val="nil"/>
                <w:bottom w:val="nil"/>
                <w:right w:val="nil"/>
                <w:between w:val="nil"/>
              </w:pBdr>
              <w:tabs>
                <w:tab w:val="left" w:pos="175"/>
              </w:tabs>
              <w:spacing w:after="120"/>
              <w:ind w:left="170"/>
              <w:jc w:val="left"/>
              <w:rPr>
                <w:rFonts w:ascii="Arial" w:eastAsia="Arial" w:hAnsi="Arial"/>
                <w:color w:val="000000"/>
                <w:sz w:val="24"/>
                <w:szCs w:val="24"/>
              </w:rPr>
            </w:pPr>
            <w:r>
              <w:rPr>
                <w:rFonts w:ascii="Arial" w:eastAsia="Arial" w:hAnsi="Arial"/>
                <w:color w:val="000000"/>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w:t>
            </w:r>
            <w:r>
              <w:rPr>
                <w:rFonts w:ascii="Arial" w:eastAsia="Arial" w:hAnsi="Arial"/>
                <w:color w:val="000000"/>
                <w:sz w:val="24"/>
                <w:szCs w:val="24"/>
              </w:rPr>
              <w:t>arators with the Supplier, or which</w:t>
            </w:r>
            <w:r>
              <w:rPr>
                <w:rFonts w:ascii="Arial" w:eastAsia="Arial" w:hAnsi="Arial"/>
                <w:sz w:val="24"/>
                <w:szCs w:val="24"/>
              </w:rPr>
              <w:t xml:space="preserve"> </w:t>
            </w:r>
            <w:r>
              <w:rPr>
                <w:rFonts w:ascii="Arial" w:eastAsia="Arial" w:hAnsi="Arial"/>
                <w:color w:val="000000"/>
                <w:sz w:val="24"/>
                <w:szCs w:val="24"/>
              </w:rPr>
              <w:t>are best practice organisations;</w:t>
            </w:r>
          </w:p>
        </w:tc>
      </w:tr>
      <w:tr w:rsidR="00404B6A" w14:paraId="1A74B0FA" w14:textId="77777777">
        <w:tc>
          <w:tcPr>
            <w:tcW w:w="2900" w:type="dxa"/>
            <w:shd w:val="clear" w:color="auto" w:fill="auto"/>
          </w:tcPr>
          <w:p w14:paraId="1A74B0F8" w14:textId="77777777" w:rsidR="00404B6A" w:rsidRDefault="00C812A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"Equivalent Data"</w:t>
            </w:r>
          </w:p>
        </w:tc>
        <w:tc>
          <w:tcPr>
            <w:tcW w:w="5142" w:type="dxa"/>
            <w:shd w:val="clear" w:color="auto" w:fill="auto"/>
          </w:tcPr>
          <w:p w14:paraId="1A74B0F9" w14:textId="77777777" w:rsidR="00404B6A" w:rsidRDefault="00C812A3">
            <w:pPr>
              <w:pBdr>
                <w:top w:val="nil"/>
                <w:left w:val="nil"/>
                <w:bottom w:val="nil"/>
                <w:right w:val="nil"/>
                <w:between w:val="nil"/>
              </w:pBdr>
              <w:tabs>
                <w:tab w:val="left" w:pos="175"/>
              </w:tabs>
              <w:spacing w:after="120"/>
              <w:ind w:left="170"/>
              <w:jc w:val="left"/>
              <w:rPr>
                <w:rFonts w:ascii="Arial" w:eastAsia="Arial" w:hAnsi="Arial"/>
                <w:color w:val="000000"/>
                <w:sz w:val="24"/>
                <w:szCs w:val="24"/>
              </w:rPr>
            </w:pPr>
            <w:r>
              <w:rPr>
                <w:rFonts w:ascii="Arial" w:eastAsia="Arial" w:hAnsi="Arial"/>
                <w:color w:val="000000"/>
                <w:sz w:val="24"/>
                <w:szCs w:val="24"/>
              </w:rPr>
              <w:t>data derived from an analysis of the Comparable Rates and/or the Comparable Deliverables (as applicable) provided by the Comparison Group;</w:t>
            </w:r>
          </w:p>
        </w:tc>
      </w:tr>
      <w:tr w:rsidR="00404B6A" w14:paraId="1A74B0FD" w14:textId="77777777">
        <w:tc>
          <w:tcPr>
            <w:tcW w:w="2900" w:type="dxa"/>
            <w:shd w:val="clear" w:color="auto" w:fill="auto"/>
          </w:tcPr>
          <w:p w14:paraId="1A74B0FB" w14:textId="77777777" w:rsidR="00404B6A" w:rsidRDefault="00C812A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"Good Value"</w:t>
            </w:r>
          </w:p>
        </w:tc>
        <w:tc>
          <w:tcPr>
            <w:tcW w:w="5142" w:type="dxa"/>
            <w:shd w:val="clear" w:color="auto" w:fill="auto"/>
          </w:tcPr>
          <w:p w14:paraId="1A74B0FC" w14:textId="77777777" w:rsidR="00404B6A" w:rsidRDefault="00C812A3">
            <w:pPr>
              <w:pBdr>
                <w:top w:val="nil"/>
                <w:left w:val="nil"/>
                <w:bottom w:val="nil"/>
                <w:right w:val="nil"/>
                <w:between w:val="nil"/>
              </w:pBdr>
              <w:tabs>
                <w:tab w:val="left" w:pos="175"/>
              </w:tabs>
              <w:spacing w:after="120"/>
              <w:ind w:left="170"/>
              <w:jc w:val="left"/>
              <w:rPr>
                <w:rFonts w:ascii="Arial" w:eastAsia="Arial" w:hAnsi="Arial"/>
                <w:color w:val="000000"/>
                <w:sz w:val="24"/>
                <w:szCs w:val="24"/>
              </w:rPr>
            </w:pPr>
            <w:r>
              <w:rPr>
                <w:rFonts w:ascii="Arial" w:eastAsia="Arial" w:hAnsi="Arial"/>
                <w:color w:val="000000"/>
                <w:sz w:val="24"/>
                <w:szCs w:val="24"/>
              </w:rPr>
              <w:t>that the Benchmarked Rates are within the Upper Quartile; and</w:t>
            </w:r>
          </w:p>
        </w:tc>
      </w:tr>
      <w:tr w:rsidR="00404B6A" w14:paraId="1A74B100" w14:textId="77777777">
        <w:tc>
          <w:tcPr>
            <w:tcW w:w="2900" w:type="dxa"/>
            <w:shd w:val="clear" w:color="auto" w:fill="auto"/>
          </w:tcPr>
          <w:p w14:paraId="1A74B0FE" w14:textId="77777777" w:rsidR="00404B6A" w:rsidRDefault="00C812A3">
            <w:pPr>
              <w:pBdr>
                <w:top w:val="nil"/>
                <w:left w:val="nil"/>
                <w:bottom w:val="nil"/>
                <w:right w:val="nil"/>
                <w:between w:val="nil"/>
              </w:pBdr>
              <w:spacing w:after="120"/>
              <w:ind w:left="-108"/>
              <w:jc w:val="left"/>
              <w:rPr>
                <w:rFonts w:ascii="Arial" w:eastAsia="Arial" w:hAnsi="Arial"/>
                <w:b/>
                <w:color w:val="000000"/>
                <w:sz w:val="24"/>
                <w:szCs w:val="24"/>
              </w:rPr>
            </w:pPr>
            <w:bookmarkStart w:id="0" w:name="_heading=h.w8oobn7nletj" w:colFirst="0" w:colLast="0"/>
            <w:bookmarkEnd w:id="0"/>
            <w:r>
              <w:rPr>
                <w:rFonts w:ascii="Arial" w:eastAsia="Arial" w:hAnsi="Arial"/>
                <w:b/>
                <w:color w:val="000000"/>
                <w:sz w:val="24"/>
                <w:szCs w:val="24"/>
              </w:rPr>
              <w:t>"Upper Quartile"</w:t>
            </w:r>
          </w:p>
        </w:tc>
        <w:tc>
          <w:tcPr>
            <w:tcW w:w="5142" w:type="dxa"/>
            <w:shd w:val="clear" w:color="auto" w:fill="auto"/>
          </w:tcPr>
          <w:p w14:paraId="1A74B0FF" w14:textId="77777777" w:rsidR="00404B6A" w:rsidRDefault="00C812A3">
            <w:pPr>
              <w:pBdr>
                <w:top w:val="nil"/>
                <w:left w:val="nil"/>
                <w:bottom w:val="nil"/>
                <w:right w:val="nil"/>
                <w:between w:val="nil"/>
              </w:pBdr>
              <w:tabs>
                <w:tab w:val="left" w:pos="175"/>
              </w:tabs>
              <w:spacing w:after="120"/>
              <w:ind w:left="170"/>
              <w:jc w:val="left"/>
              <w:rPr>
                <w:rFonts w:ascii="Arial" w:eastAsia="Arial" w:hAnsi="Arial"/>
                <w:color w:val="000000"/>
                <w:sz w:val="24"/>
                <w:szCs w:val="24"/>
              </w:rPr>
            </w:pPr>
            <w:r>
              <w:rPr>
                <w:rFonts w:ascii="Arial" w:eastAsia="Arial" w:hAnsi="Arial"/>
                <w:color w:val="000000"/>
                <w:sz w:val="24"/>
                <w:szCs w:val="24"/>
              </w:rPr>
              <w:t xml:space="preserve">in respect of Benchmarked Rates, based on an analysis of Equivalent Data, the Benchmarked Rates, as compared to the range of prices for Comparable Deliverables, are within the </w:t>
            </w:r>
            <w:r>
              <w:rPr>
                <w:rFonts w:ascii="Arial" w:eastAsia="Arial" w:hAnsi="Arial"/>
                <w:color w:val="000000"/>
                <w:sz w:val="24"/>
                <w:szCs w:val="24"/>
              </w:rPr>
              <w:t xml:space="preserve">top 25% in </w:t>
            </w:r>
            <w:r>
              <w:rPr>
                <w:rFonts w:ascii="Arial" w:eastAsia="Arial" w:hAnsi="Arial"/>
                <w:color w:val="000000"/>
                <w:sz w:val="24"/>
                <w:szCs w:val="24"/>
              </w:rPr>
              <w:lastRenderedPageBreak/>
              <w:t>terms of best value for money for the recipients of Comparable Deliverables.</w:t>
            </w:r>
          </w:p>
        </w:tc>
      </w:tr>
    </w:tbl>
    <w:p w14:paraId="1A74B101" w14:textId="77777777" w:rsidR="00404B6A" w:rsidRDefault="00C812A3">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lastRenderedPageBreak/>
        <w:t>When you should use this Schedule</w:t>
      </w:r>
    </w:p>
    <w:p w14:paraId="1A74B102" w14:textId="77777777" w:rsidR="00404B6A" w:rsidRDefault="00C812A3">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rFonts w:ascii="Arial" w:eastAsia="Arial" w:hAnsi="Arial"/>
          <w:color w:val="000000"/>
          <w:sz w:val="24"/>
          <w:szCs w:val="24"/>
        </w:rPr>
        <w:t xml:space="preserve">The Supplier acknowledges that the Buyer wishes to ensure that the Deliverables represent value for money to the taxpayer throughout the Contract Period.  </w:t>
      </w:r>
    </w:p>
    <w:p w14:paraId="1A74B103" w14:textId="77777777" w:rsidR="00404B6A" w:rsidRDefault="00C812A3">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This Schedule sets out to ensure the Contracts represent value for money throughout and that the Buy</w:t>
      </w:r>
      <w:r>
        <w:rPr>
          <w:rFonts w:ascii="Arial" w:eastAsia="Arial" w:hAnsi="Arial"/>
          <w:color w:val="000000"/>
          <w:sz w:val="24"/>
          <w:szCs w:val="24"/>
        </w:rPr>
        <w:t>er may terminate the Contract by issuing a Termination Notice to the Supplier if the Supplier refuses or fails to comply with its obligations as set out in Paragraph 3 of this Schedule.</w:t>
      </w:r>
    </w:p>
    <w:p w14:paraId="1A74B104" w14:textId="77777777" w:rsidR="00404B6A" w:rsidRDefault="00C812A3">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Amounts payable under this Schedule shall not fall within the definiti</w:t>
      </w:r>
      <w:r>
        <w:rPr>
          <w:rFonts w:ascii="Arial" w:eastAsia="Arial" w:hAnsi="Arial"/>
          <w:color w:val="000000"/>
          <w:sz w:val="24"/>
          <w:szCs w:val="24"/>
        </w:rPr>
        <w:t>on of a Cost.</w:t>
      </w:r>
    </w:p>
    <w:p w14:paraId="1A74B105" w14:textId="77777777" w:rsidR="00404B6A" w:rsidRDefault="00C812A3">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Benchmarking</w:t>
      </w:r>
    </w:p>
    <w:p w14:paraId="1A74B106" w14:textId="77777777" w:rsidR="00404B6A" w:rsidRDefault="00C812A3">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rFonts w:ascii="Arial" w:eastAsia="Arial" w:hAnsi="Arial"/>
          <w:b/>
          <w:color w:val="000000"/>
          <w:sz w:val="24"/>
          <w:szCs w:val="24"/>
        </w:rPr>
        <w:t>How benchmarking works</w:t>
      </w:r>
    </w:p>
    <w:p w14:paraId="1A74B107" w14:textId="77777777" w:rsidR="00404B6A" w:rsidRDefault="00C812A3">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1A74B108" w14:textId="77777777" w:rsidR="00404B6A" w:rsidRDefault="00C812A3">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may, by written notice to the Supplier, require a Bench</w:t>
      </w:r>
      <w:r>
        <w:rPr>
          <w:rFonts w:ascii="Arial" w:eastAsia="Arial" w:hAnsi="Arial"/>
          <w:color w:val="000000"/>
          <w:sz w:val="24"/>
          <w:szCs w:val="24"/>
        </w:rPr>
        <w:t>mark Review of any or all of the Deliverables.</w:t>
      </w:r>
    </w:p>
    <w:p w14:paraId="1A74B109" w14:textId="77777777" w:rsidR="00404B6A" w:rsidRDefault="00C812A3">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shall not be entitled to request a Benchmark Review during the first six (6) Month period from the Contract Commencement Date or at intervals of less than twelve (12) Months after any previous Benchm</w:t>
      </w:r>
      <w:r>
        <w:rPr>
          <w:rFonts w:ascii="Arial" w:eastAsia="Arial" w:hAnsi="Arial"/>
          <w:color w:val="000000"/>
          <w:sz w:val="24"/>
          <w:szCs w:val="24"/>
        </w:rPr>
        <w:t xml:space="preserve">ark Review. </w:t>
      </w:r>
    </w:p>
    <w:p w14:paraId="1A74B10A" w14:textId="77777777" w:rsidR="00404B6A" w:rsidRDefault="00C812A3">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purpose of a Benchmark Review will be to establish whether the Benchmarked Deliverables are, individually and/or as a whole, Good Value.</w:t>
      </w:r>
    </w:p>
    <w:p w14:paraId="1A74B10B" w14:textId="77777777" w:rsidR="00404B6A" w:rsidRDefault="00C812A3">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Deliverables that are to be the Benchmarked Deliverables will be identified by the Buyer in writin</w:t>
      </w:r>
      <w:r>
        <w:rPr>
          <w:rFonts w:ascii="Arial" w:eastAsia="Arial" w:hAnsi="Arial"/>
          <w:color w:val="000000"/>
          <w:sz w:val="24"/>
          <w:szCs w:val="24"/>
        </w:rPr>
        <w:t>g.</w:t>
      </w:r>
    </w:p>
    <w:p w14:paraId="1A74B10C" w14:textId="77777777" w:rsidR="00404B6A" w:rsidRDefault="00C812A3">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Upon its request for a Benchmark Review, the Buyer shall nominate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w:t>
      </w:r>
      <w:r>
        <w:rPr>
          <w:rFonts w:ascii="Arial" w:eastAsia="Arial" w:hAnsi="Arial"/>
          <w:sz w:val="24"/>
          <w:szCs w:val="24"/>
        </w:rPr>
        <w:t xml:space="preserve"> </w:t>
      </w:r>
      <w:r>
        <w:rPr>
          <w:rFonts w:ascii="Arial" w:eastAsia="Arial" w:hAnsi="Arial"/>
          <w:color w:val="000000"/>
          <w:sz w:val="24"/>
          <w:szCs w:val="24"/>
        </w:rPr>
        <w:t>The Supplier must approve the nomination within ten (10) Working Days unless the Supplier provides a reasonable explanation for rejecting the appointment.</w:t>
      </w:r>
      <w:r>
        <w:rPr>
          <w:rFonts w:ascii="Arial" w:eastAsia="Arial" w:hAnsi="Arial"/>
          <w:sz w:val="24"/>
          <w:szCs w:val="24"/>
        </w:rPr>
        <w:t xml:space="preserve"> </w:t>
      </w:r>
      <w:r>
        <w:rPr>
          <w:rFonts w:ascii="Arial" w:eastAsia="Arial" w:hAnsi="Arial"/>
          <w:color w:val="000000"/>
          <w:sz w:val="24"/>
          <w:szCs w:val="24"/>
        </w:rPr>
        <w:t xml:space="preserve">If the appointment is rejected then the Buyer may propose an alternative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If the Parties cannot agree the appointment within twenty (20) days of the initial request for Benchmark review, then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selected by the Chartered In</w:t>
      </w:r>
      <w:r>
        <w:rPr>
          <w:rFonts w:ascii="Arial" w:eastAsia="Arial" w:hAnsi="Arial"/>
          <w:color w:val="000000"/>
          <w:sz w:val="24"/>
          <w:szCs w:val="24"/>
        </w:rPr>
        <w:t xml:space="preserve">stitute of Financial Accountants. </w:t>
      </w:r>
    </w:p>
    <w:p w14:paraId="1A74B10D" w14:textId="77777777" w:rsidR="00404B6A" w:rsidRDefault="00C812A3">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cost of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borne by the Buyer (provided that each Party shall bear its own internal costs of </w:t>
      </w:r>
      <w:r>
        <w:rPr>
          <w:rFonts w:ascii="Arial" w:eastAsia="Arial" w:hAnsi="Arial"/>
          <w:color w:val="000000"/>
          <w:sz w:val="24"/>
          <w:szCs w:val="24"/>
        </w:rPr>
        <w:lastRenderedPageBreak/>
        <w:t>the Benchmark Review) except where the Benchmark Review demonstrates that the Benchmarked Service and/or</w:t>
      </w:r>
      <w:r>
        <w:rPr>
          <w:rFonts w:ascii="Arial" w:eastAsia="Arial" w:hAnsi="Arial"/>
          <w:color w:val="000000"/>
          <w:sz w:val="24"/>
          <w:szCs w:val="24"/>
        </w:rPr>
        <w:t xml:space="preserve"> the Benchmarked Deliverables are not Good Value, in which case the Parties shall share the cost of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in such proportions as the Parties agree (acting reasonably). Invoices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raised against the Supplier and the relev</w:t>
      </w:r>
      <w:r>
        <w:rPr>
          <w:rFonts w:ascii="Arial" w:eastAsia="Arial" w:hAnsi="Arial"/>
          <w:color w:val="000000"/>
          <w:sz w:val="24"/>
          <w:szCs w:val="24"/>
        </w:rPr>
        <w:t>ant portion shall be reimbursed by the Buyer.</w:t>
      </w:r>
    </w:p>
    <w:p w14:paraId="1A74B10E" w14:textId="77777777" w:rsidR="00404B6A" w:rsidRDefault="00C812A3">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rFonts w:ascii="Arial" w:eastAsia="Arial" w:hAnsi="Arial"/>
          <w:b/>
          <w:color w:val="000000"/>
          <w:sz w:val="24"/>
          <w:szCs w:val="24"/>
        </w:rPr>
        <w:t>Benchmarking Process</w:t>
      </w:r>
    </w:p>
    <w:p w14:paraId="1A74B10F" w14:textId="77777777" w:rsidR="00404B6A" w:rsidRDefault="00C812A3">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 w:name="_heading=h.gjdgxs" w:colFirst="0" w:colLast="0"/>
      <w:bookmarkEnd w:id="1"/>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produce and send to the Buyer, for Approval, a draft plan for the Benchmark Review which must include:</w:t>
      </w:r>
    </w:p>
    <w:p w14:paraId="1A74B110" w14:textId="77777777" w:rsidR="00404B6A" w:rsidRDefault="00C812A3">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proposed cost and timetable for the Benchmark Review;</w:t>
      </w:r>
    </w:p>
    <w:p w14:paraId="1A74B111" w14:textId="77777777" w:rsidR="00404B6A" w:rsidRDefault="00C812A3">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description of the benchmarking methodology to be used which must demonst</w:t>
      </w:r>
      <w:r>
        <w:rPr>
          <w:rFonts w:ascii="Arial" w:eastAsia="Arial" w:hAnsi="Arial"/>
          <w:color w:val="000000"/>
          <w:sz w:val="24"/>
          <w:szCs w:val="24"/>
        </w:rPr>
        <w:t>rate that the methodology to be used is capable of fulfilling the benchmarking purpose; and</w:t>
      </w:r>
    </w:p>
    <w:p w14:paraId="1A74B112" w14:textId="77777777" w:rsidR="00404B6A" w:rsidRDefault="00C812A3">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a description of how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will scope and identify the Comparison Group. </w:t>
      </w:r>
    </w:p>
    <w:p w14:paraId="1A74B113" w14:textId="77777777" w:rsidR="00404B6A" w:rsidRDefault="00C812A3">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acting reasonably, shall be entitled to use any model to determ</w:t>
      </w:r>
      <w:r>
        <w:rPr>
          <w:rFonts w:ascii="Arial" w:eastAsia="Arial" w:hAnsi="Arial"/>
          <w:color w:val="000000"/>
          <w:sz w:val="24"/>
          <w:szCs w:val="24"/>
        </w:rPr>
        <w:t xml:space="preserve">ine the achievement of value for money and to carry out the benchmarking. </w:t>
      </w:r>
    </w:p>
    <w:p w14:paraId="1A74B114" w14:textId="77777777" w:rsidR="00404B6A" w:rsidRDefault="00C812A3">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 xml:space="preserve">The Buyer must give notice in writing to the Supplier within ten (10) Working Days after receiving the draft plan, advising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and the Supplier whether it Approves the </w:t>
      </w:r>
      <w:r>
        <w:rPr>
          <w:rFonts w:ascii="Arial" w:eastAsia="Arial" w:hAnsi="Arial"/>
          <w:color w:val="000000"/>
          <w:sz w:val="24"/>
          <w:szCs w:val="24"/>
        </w:rPr>
        <w:t xml:space="preserve">draft plan, or, if it does not approve the draft plan, suggesting amendments to that plan (which must be reasonable). If amendments are suggested then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must produce an amended draft plan and this Paragraph 3.2.3 shall apply to any amended dr</w:t>
      </w:r>
      <w:r>
        <w:rPr>
          <w:rFonts w:ascii="Arial" w:eastAsia="Arial" w:hAnsi="Arial"/>
          <w:color w:val="000000"/>
          <w:sz w:val="24"/>
          <w:szCs w:val="24"/>
        </w:rPr>
        <w:t>aft plan.</w:t>
      </w:r>
    </w:p>
    <w:p w14:paraId="1A74B115" w14:textId="77777777" w:rsidR="00404B6A" w:rsidRDefault="00C812A3">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Once both Parties have approved the draft plan then they will notify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No Party may unreasonably withhold or delay its Approval of the draft plan.</w:t>
      </w:r>
    </w:p>
    <w:p w14:paraId="1A74B116" w14:textId="77777777" w:rsidR="00404B6A" w:rsidRDefault="00C812A3">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Once it has received the Approval of the draft plan,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w:t>
      </w:r>
    </w:p>
    <w:p w14:paraId="1A74B117" w14:textId="77777777" w:rsidR="00404B6A" w:rsidRDefault="00C812A3">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finalise the Comparison Group and collect data relating to Comparable Rates. The selection of the Comparable Rates (both in terms of number and identity) shall be a matter for the Supplier's professional judgement using:</w:t>
      </w:r>
    </w:p>
    <w:p w14:paraId="1A74B118" w14:textId="77777777" w:rsidR="00404B6A" w:rsidRDefault="00C812A3">
      <w:pPr>
        <w:numPr>
          <w:ilvl w:val="4"/>
          <w:numId w:val="1"/>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market intelligence;</w:t>
      </w:r>
    </w:p>
    <w:p w14:paraId="1A74B119" w14:textId="77777777" w:rsidR="00404B6A" w:rsidRDefault="00C812A3">
      <w:pPr>
        <w:numPr>
          <w:ilvl w:val="4"/>
          <w:numId w:val="1"/>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proofErr w:type="spellStart"/>
      <w:r>
        <w:rPr>
          <w:rFonts w:ascii="Arial" w:eastAsia="Arial" w:hAnsi="Arial"/>
          <w:color w:val="000000"/>
          <w:sz w:val="24"/>
          <w:szCs w:val="24"/>
        </w:rPr>
        <w:t>benchmarke</w:t>
      </w:r>
      <w:r>
        <w:rPr>
          <w:rFonts w:ascii="Arial" w:eastAsia="Arial" w:hAnsi="Arial"/>
          <w:color w:val="000000"/>
          <w:sz w:val="24"/>
          <w:szCs w:val="24"/>
        </w:rPr>
        <w:t>r’s</w:t>
      </w:r>
      <w:proofErr w:type="spellEnd"/>
      <w:r>
        <w:rPr>
          <w:rFonts w:ascii="Arial" w:eastAsia="Arial" w:hAnsi="Arial"/>
          <w:color w:val="000000"/>
          <w:sz w:val="24"/>
          <w:szCs w:val="24"/>
        </w:rPr>
        <w:t xml:space="preserve"> own data and experience;</w:t>
      </w:r>
    </w:p>
    <w:p w14:paraId="1A74B11A" w14:textId="77777777" w:rsidR="00404B6A" w:rsidRDefault="00C812A3">
      <w:pPr>
        <w:numPr>
          <w:ilvl w:val="4"/>
          <w:numId w:val="1"/>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relevant published information; and</w:t>
      </w:r>
    </w:p>
    <w:p w14:paraId="1A74B11B" w14:textId="77777777" w:rsidR="00404B6A" w:rsidRDefault="00C812A3">
      <w:pPr>
        <w:numPr>
          <w:ilvl w:val="4"/>
          <w:numId w:val="1"/>
        </w:numPr>
        <w:pBdr>
          <w:top w:val="nil"/>
          <w:left w:val="nil"/>
          <w:bottom w:val="nil"/>
          <w:right w:val="nil"/>
          <w:between w:val="nil"/>
        </w:pBdr>
        <w:tabs>
          <w:tab w:val="left" w:pos="3119"/>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 xml:space="preserve">pursuant to Paragraph </w:t>
      </w:r>
      <w:proofErr w:type="gramStart"/>
      <w:r>
        <w:rPr>
          <w:rFonts w:ascii="Arial" w:eastAsia="Arial" w:hAnsi="Arial"/>
          <w:color w:val="000000"/>
          <w:sz w:val="24"/>
          <w:szCs w:val="24"/>
        </w:rPr>
        <w:t>3.2.6  below</w:t>
      </w:r>
      <w:proofErr w:type="gramEnd"/>
      <w:r>
        <w:rPr>
          <w:rFonts w:ascii="Arial" w:eastAsia="Arial" w:hAnsi="Arial"/>
          <w:color w:val="000000"/>
          <w:sz w:val="24"/>
          <w:szCs w:val="24"/>
        </w:rPr>
        <w:t>, information from other suppliers or purchasers on Comparable Rates;</w:t>
      </w:r>
    </w:p>
    <w:p w14:paraId="1A74B11C" w14:textId="77777777" w:rsidR="00404B6A" w:rsidRDefault="00C812A3">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by applying the adjustment factors listed in Paragraph 3.2.7 and from an analysis of th</w:t>
      </w:r>
      <w:r>
        <w:rPr>
          <w:rFonts w:ascii="Arial" w:eastAsia="Arial" w:hAnsi="Arial"/>
          <w:color w:val="000000"/>
          <w:sz w:val="24"/>
          <w:szCs w:val="24"/>
        </w:rPr>
        <w:t>e Comparable Rates, derive the Equivalent Data;</w:t>
      </w:r>
    </w:p>
    <w:p w14:paraId="1A74B11D" w14:textId="77777777" w:rsidR="00404B6A" w:rsidRDefault="00C812A3">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using the Equivalent Data, calculate the Upper Quartile;</w:t>
      </w:r>
    </w:p>
    <w:p w14:paraId="1A74B11E" w14:textId="77777777" w:rsidR="00404B6A" w:rsidRDefault="00C812A3">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determine whether or not each Benchmarked Rate is, and/or the Benchmarked Rates as a whole are, Good Value.</w:t>
      </w:r>
    </w:p>
    <w:p w14:paraId="1A74B11F" w14:textId="77777777" w:rsidR="00404B6A" w:rsidRDefault="00C812A3">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 xml:space="preserve">The Supplier shall use all reasonable endeavours and act in good faith to supply information required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in order to undertake the benchmarking.  The Supplier agrees to use its reasonable endeavours to obtain information from other supplier</w:t>
      </w:r>
      <w:r>
        <w:rPr>
          <w:rFonts w:ascii="Arial" w:eastAsia="Arial" w:hAnsi="Arial"/>
          <w:color w:val="000000"/>
          <w:sz w:val="24"/>
          <w:szCs w:val="24"/>
        </w:rPr>
        <w:t>s or purchasers on Comparable Rates.</w:t>
      </w:r>
    </w:p>
    <w:p w14:paraId="1A74B120" w14:textId="77777777" w:rsidR="00404B6A" w:rsidRDefault="00C812A3">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 xml:space="preserve">In carrying out the benchmarking analysis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may have regard to the following matters when performing a comparative assessment of the Benchmarked Rates and the Comparable Rates in order to derive Equivalent</w:t>
      </w:r>
      <w:r>
        <w:rPr>
          <w:rFonts w:ascii="Arial" w:eastAsia="Arial" w:hAnsi="Arial"/>
          <w:color w:val="000000"/>
          <w:sz w:val="24"/>
          <w:szCs w:val="24"/>
        </w:rPr>
        <w:t xml:space="preserve"> Data:</w:t>
      </w:r>
    </w:p>
    <w:p w14:paraId="1A74B121" w14:textId="77777777" w:rsidR="00404B6A" w:rsidRDefault="00C812A3">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contractual terms and business environment under which the Comparable Rates are being provided (including the scale and geographical spread of the customers);</w:t>
      </w:r>
    </w:p>
    <w:p w14:paraId="1A74B122" w14:textId="77777777" w:rsidR="00404B6A" w:rsidRDefault="00C812A3">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exchange rates;</w:t>
      </w:r>
    </w:p>
    <w:p w14:paraId="1A74B123" w14:textId="77777777" w:rsidR="00404B6A" w:rsidRDefault="00C812A3">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any other factors reasonably identified by the Supplier, which, if not</w:t>
      </w:r>
      <w:r>
        <w:rPr>
          <w:rFonts w:ascii="Arial" w:eastAsia="Arial" w:hAnsi="Arial"/>
          <w:color w:val="000000"/>
          <w:sz w:val="24"/>
          <w:szCs w:val="24"/>
        </w:rPr>
        <w:t xml:space="preserve"> taken into consideration, could unfairly cause the Supplier's pricing to appear non-competitive.</w:t>
      </w:r>
    </w:p>
    <w:p w14:paraId="1A74B124" w14:textId="77777777" w:rsidR="00404B6A" w:rsidRDefault="00C812A3">
      <w:pPr>
        <w:keepNext/>
        <w:numPr>
          <w:ilvl w:val="1"/>
          <w:numId w:val="1"/>
        </w:numPr>
        <w:pBdr>
          <w:top w:val="nil"/>
          <w:left w:val="nil"/>
          <w:bottom w:val="nil"/>
          <w:right w:val="nil"/>
          <w:between w:val="nil"/>
        </w:pBdr>
        <w:tabs>
          <w:tab w:val="left" w:pos="1134"/>
        </w:tabs>
        <w:spacing w:before="120" w:after="120"/>
        <w:ind w:left="648" w:hanging="216"/>
        <w:jc w:val="left"/>
        <w:rPr>
          <w:color w:val="000000"/>
          <w:sz w:val="24"/>
          <w:szCs w:val="24"/>
        </w:rPr>
      </w:pPr>
      <w:r>
        <w:rPr>
          <w:rFonts w:ascii="Arial" w:eastAsia="Arial" w:hAnsi="Arial"/>
          <w:b/>
          <w:color w:val="000000"/>
          <w:sz w:val="24"/>
          <w:szCs w:val="24"/>
        </w:rPr>
        <w:t>Benchmarking Report</w:t>
      </w:r>
    </w:p>
    <w:p w14:paraId="1A74B125" w14:textId="77777777" w:rsidR="00404B6A" w:rsidRDefault="00C812A3">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For the purposes of this Schedule </w:t>
      </w:r>
      <w:r>
        <w:rPr>
          <w:rFonts w:ascii="Arial" w:eastAsia="Arial" w:hAnsi="Arial"/>
          <w:b/>
          <w:color w:val="000000"/>
          <w:sz w:val="24"/>
          <w:szCs w:val="24"/>
        </w:rPr>
        <w:t>"Benchmarking Report"</w:t>
      </w:r>
      <w:r>
        <w:rPr>
          <w:rFonts w:ascii="Arial" w:eastAsia="Arial" w:hAnsi="Arial"/>
          <w:color w:val="000000"/>
          <w:sz w:val="24"/>
          <w:szCs w:val="24"/>
        </w:rPr>
        <w:t xml:space="preserve"> shall mean the report produced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following the Benchmark Review and as further described in this Schedule;</w:t>
      </w:r>
    </w:p>
    <w:p w14:paraId="1A74B126" w14:textId="77777777" w:rsidR="00404B6A" w:rsidRDefault="00C812A3">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prepare a Benchmarking Report and deliver it to the Buyer, at the time specified in the plan Approved pursuan</w:t>
      </w:r>
      <w:r>
        <w:rPr>
          <w:rFonts w:ascii="Arial" w:eastAsia="Arial" w:hAnsi="Arial"/>
          <w:color w:val="000000"/>
          <w:sz w:val="24"/>
          <w:szCs w:val="24"/>
        </w:rPr>
        <w:t>t to Paragraph 3.2.3, setting out its findings.  Those findings shall be required to:</w:t>
      </w:r>
    </w:p>
    <w:p w14:paraId="1A74B127" w14:textId="77777777" w:rsidR="00404B6A" w:rsidRDefault="00C812A3">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include a finding as to whether or not a Benchmarked Service and/or whether the Benchmarked Deliverables as a whole are, Good Value;</w:t>
      </w:r>
    </w:p>
    <w:p w14:paraId="1A74B128" w14:textId="77777777" w:rsidR="00404B6A" w:rsidRDefault="00C812A3">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if any of the Benchmarked Deliverables are, individually or as a whole, not Good Value, specify the changes that would be r</w:t>
      </w:r>
      <w:r>
        <w:rPr>
          <w:rFonts w:ascii="Arial" w:eastAsia="Arial" w:hAnsi="Arial"/>
          <w:color w:val="000000"/>
          <w:sz w:val="24"/>
          <w:szCs w:val="24"/>
        </w:rPr>
        <w:t xml:space="preserve">equired to make that Benchmarked Service or the Benchmarked Deliverables as a whole Good Value; and </w:t>
      </w:r>
    </w:p>
    <w:p w14:paraId="1A74B129" w14:textId="77777777" w:rsidR="00404B6A" w:rsidRDefault="00C812A3">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include sufficient detail and transparency so that the Party requesting the Benchmarking can interpret and understand how the Supplier has calculated wheth</w:t>
      </w:r>
      <w:r>
        <w:rPr>
          <w:rFonts w:ascii="Arial" w:eastAsia="Arial" w:hAnsi="Arial"/>
          <w:color w:val="000000"/>
          <w:sz w:val="24"/>
          <w:szCs w:val="24"/>
        </w:rPr>
        <w:t xml:space="preserve">er or not the </w:t>
      </w:r>
      <w:r>
        <w:rPr>
          <w:rFonts w:ascii="Arial" w:eastAsia="Arial" w:hAnsi="Arial"/>
          <w:color w:val="000000"/>
          <w:sz w:val="24"/>
          <w:szCs w:val="24"/>
        </w:rPr>
        <w:lastRenderedPageBreak/>
        <w:t>Benchmarked Deliverables are, individually or as a whole, Good Value.</w:t>
      </w:r>
    </w:p>
    <w:p w14:paraId="1A74B12A" w14:textId="77777777" w:rsidR="00404B6A" w:rsidRDefault="00C812A3">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Parties agree that any changes required to this Contract identified in the Benchmarking Report shall be implemented at the direction of the Buyer in accordance with Cla</w:t>
      </w:r>
      <w:r>
        <w:rPr>
          <w:rFonts w:ascii="Arial" w:eastAsia="Arial" w:hAnsi="Arial"/>
          <w:color w:val="000000"/>
          <w:sz w:val="24"/>
          <w:szCs w:val="24"/>
        </w:rPr>
        <w:t>use 24 (Ch</w:t>
      </w:r>
      <w:r>
        <w:rPr>
          <w:rFonts w:ascii="Arial" w:eastAsia="Arial" w:hAnsi="Arial"/>
          <w:sz w:val="24"/>
          <w:szCs w:val="24"/>
        </w:rPr>
        <w:t>anging the Contract)</w:t>
      </w:r>
    </w:p>
    <w:sectPr w:rsidR="00404B6A">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4B13B" w14:textId="77777777" w:rsidR="00000000" w:rsidRDefault="00C812A3">
      <w:pPr>
        <w:spacing w:after="0"/>
      </w:pPr>
      <w:r>
        <w:separator/>
      </w:r>
    </w:p>
  </w:endnote>
  <w:endnote w:type="continuationSeparator" w:id="0">
    <w:p w14:paraId="1A74B13D" w14:textId="77777777" w:rsidR="00000000" w:rsidRDefault="00C812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4B12F" w14:textId="77777777" w:rsidR="00404B6A" w:rsidRDefault="00404B6A">
    <w:pPr>
      <w:tabs>
        <w:tab w:val="center" w:pos="4513"/>
        <w:tab w:val="right" w:pos="9026"/>
      </w:tabs>
      <w:spacing w:after="0"/>
      <w:rPr>
        <w:rFonts w:ascii="Arial" w:eastAsia="Arial" w:hAnsi="Arial"/>
        <w:sz w:val="20"/>
        <w:szCs w:val="20"/>
      </w:rPr>
    </w:pPr>
  </w:p>
  <w:p w14:paraId="1A74B130" w14:textId="75679539" w:rsidR="00404B6A" w:rsidRDefault="00C812A3">
    <w:pPr>
      <w:tabs>
        <w:tab w:val="center" w:pos="4513"/>
        <w:tab w:val="right" w:pos="9026"/>
      </w:tabs>
      <w:spacing w:after="0"/>
      <w:rPr>
        <w:rFonts w:ascii="Arial" w:eastAsia="Arial" w:hAnsi="Arial"/>
        <w:sz w:val="20"/>
        <w:szCs w:val="20"/>
      </w:rPr>
    </w:pPr>
    <w:r>
      <w:rPr>
        <w:rFonts w:ascii="Arial" w:eastAsia="Arial" w:hAnsi="Arial"/>
        <w:sz w:val="20"/>
        <w:szCs w:val="20"/>
      </w:rPr>
      <w:t>Framework Reference: RM6116-</w:t>
    </w:r>
    <w:r>
      <w:rPr>
        <w:rFonts w:ascii="Arial" w:eastAsia="Arial" w:hAnsi="Arial"/>
        <w:sz w:val="20"/>
        <w:szCs w:val="20"/>
      </w:rPr>
      <w:t>Lot 4b Digital Communication Services (Unified Communications)- Call-Off Contract Reference: CCTE24A10</w:t>
    </w:r>
  </w:p>
  <w:p w14:paraId="1A74B131" w14:textId="35997276" w:rsidR="00404B6A" w:rsidRDefault="00C812A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1A74B132" w14:textId="77777777" w:rsidR="00404B6A" w:rsidRDefault="00C812A3">
    <w:pPr>
      <w:tabs>
        <w:tab w:val="center" w:pos="4513"/>
        <w:tab w:val="right" w:pos="9026"/>
      </w:tabs>
      <w:spacing w:after="0"/>
    </w:pPr>
    <w:r>
      <w:rPr>
        <w:rFonts w:ascii="Arial" w:eastAsia="Arial" w:hAnsi="Arial"/>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4B134" w14:textId="77777777" w:rsidR="00404B6A" w:rsidRDefault="00C812A3">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Pr>
        <w:rFonts w:ascii="Arial" w:eastAsia="Arial" w:hAnsi="Arial"/>
        <w:sz w:val="20"/>
        <w:szCs w:val="20"/>
      </w:rPr>
      <w:tab/>
    </w:r>
    <w:r>
      <w:rPr>
        <w:rFonts w:ascii="Arial" w:eastAsia="Arial" w:hAnsi="Arial"/>
        <w:sz w:val="20"/>
        <w:szCs w:val="20"/>
      </w:rPr>
      <w:t xml:space="preserve">                                           </w:t>
    </w:r>
  </w:p>
  <w:p w14:paraId="1A74B135" w14:textId="77777777" w:rsidR="00404B6A" w:rsidRDefault="00C812A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color w:val="000000"/>
        <w:sz w:val="20"/>
        <w:szCs w:val="20"/>
      </w:rPr>
      <w:fldChar w:fldCharType="end"/>
    </w:r>
  </w:p>
  <w:p w14:paraId="1A74B136" w14:textId="77777777" w:rsidR="00404B6A" w:rsidRDefault="00C812A3">
    <w:pPr>
      <w:tabs>
        <w:tab w:val="center" w:pos="4513"/>
        <w:tab w:val="right" w:pos="9026"/>
      </w:tabs>
      <w:spacing w:after="0"/>
    </w:pPr>
    <w:r>
      <w:rPr>
        <w:rFonts w:ascii="Arial" w:eastAsia="Arial" w:hAnsi="Arial"/>
        <w:sz w:val="20"/>
        <w:szCs w:val="20"/>
      </w:rPr>
      <w:t>Model Version: v3.0</w:t>
    </w:r>
    <w:r>
      <w:rPr>
        <w:rFonts w:ascii="Arial" w:eastAsia="Arial" w:hAnsi="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4B137" w14:textId="77777777" w:rsidR="00000000" w:rsidRDefault="00C812A3">
      <w:pPr>
        <w:spacing w:after="0"/>
      </w:pPr>
      <w:r>
        <w:separator/>
      </w:r>
    </w:p>
  </w:footnote>
  <w:footnote w:type="continuationSeparator" w:id="0">
    <w:p w14:paraId="1A74B139" w14:textId="77777777" w:rsidR="00000000" w:rsidRDefault="00C812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4B12B" w14:textId="77777777" w:rsidR="00404B6A" w:rsidRDefault="00C812A3">
    <w:pPr>
      <w:pBdr>
        <w:top w:val="nil"/>
        <w:left w:val="nil"/>
        <w:bottom w:val="nil"/>
        <w:right w:val="nil"/>
        <w:between w:val="nil"/>
      </w:pBdr>
      <w:tabs>
        <w:tab w:val="center" w:pos="4513"/>
        <w:tab w:val="right" w:pos="9026"/>
      </w:tabs>
      <w:spacing w:after="0"/>
      <w:rPr>
        <w:rFonts w:ascii="Arial" w:eastAsia="Arial" w:hAnsi="Arial"/>
        <w:b/>
        <w:sz w:val="20"/>
        <w:szCs w:val="20"/>
      </w:rPr>
    </w:pPr>
    <w:r>
      <w:rPr>
        <w:rFonts w:ascii="Arial" w:eastAsia="Arial" w:hAnsi="Arial"/>
        <w:b/>
        <w:color w:val="000000"/>
        <w:sz w:val="20"/>
        <w:szCs w:val="20"/>
      </w:rPr>
      <w:t>Call-Off Schedule 16 (Benchmarking)</w:t>
    </w:r>
  </w:p>
  <w:p w14:paraId="1A74B12C" w14:textId="77777777" w:rsidR="00404B6A" w:rsidRDefault="00C812A3">
    <w:pPr>
      <w:pBdr>
        <w:top w:val="nil"/>
        <w:left w:val="nil"/>
        <w:bottom w:val="nil"/>
        <w:right w:val="nil"/>
        <w:between w:val="nil"/>
      </w:pBdr>
      <w:tabs>
        <w:tab w:val="center" w:pos="4513"/>
        <w:tab w:val="right" w:pos="9026"/>
      </w:tabs>
      <w:spacing w:after="0"/>
      <w:rPr>
        <w:rFonts w:ascii="Arial" w:eastAsia="Arial" w:hAnsi="Arial"/>
        <w:b/>
        <w:sz w:val="20"/>
        <w:szCs w:val="20"/>
      </w:rPr>
    </w:pPr>
    <w:r>
      <w:rPr>
        <w:rFonts w:ascii="Arial" w:eastAsia="Arial" w:hAnsi="Arial"/>
        <w:b/>
        <w:sz w:val="20"/>
        <w:szCs w:val="20"/>
      </w:rPr>
      <w:t>Internet Protocol (IP)Telephony based services across the GPA estate</w:t>
    </w:r>
  </w:p>
  <w:p w14:paraId="1A74B12D" w14:textId="77777777" w:rsidR="00404B6A" w:rsidRDefault="00C812A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2018</w:t>
    </w:r>
  </w:p>
  <w:p w14:paraId="1A74B12E" w14:textId="77777777" w:rsidR="00404B6A" w:rsidRDefault="00404B6A">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4B133" w14:textId="77777777" w:rsidR="00404B6A" w:rsidRDefault="00C812A3">
    <w:pPr>
      <w:pBdr>
        <w:top w:val="nil"/>
        <w:left w:val="nil"/>
        <w:bottom w:val="nil"/>
        <w:right w:val="nil"/>
        <w:between w:val="nil"/>
      </w:pBdr>
      <w:tabs>
        <w:tab w:val="center" w:pos="4513"/>
        <w:tab w:val="right" w:pos="9026"/>
      </w:tabs>
      <w:spacing w:after="0"/>
      <w:rPr>
        <w:color w:val="000000"/>
      </w:rPr>
    </w:pPr>
    <w:r>
      <w:rPr>
        <w:noProof/>
      </w:rPr>
      <w:drawing>
        <wp:anchor distT="0" distB="0" distL="114300" distR="114300" simplePos="0" relativeHeight="251658240" behindDoc="0" locked="0" layoutInCell="1" hidden="0" allowOverlap="1" wp14:anchorId="1A74B137" wp14:editId="1A74B138">
          <wp:simplePos x="0" y="0"/>
          <wp:positionH relativeFrom="column">
            <wp:posOffset>5714365</wp:posOffset>
          </wp:positionH>
          <wp:positionV relativeFrom="paragraph">
            <wp:posOffset>-13332</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230A8"/>
    <w:multiLevelType w:val="multilevel"/>
    <w:tmpl w:val="C5E45F5C"/>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688615E"/>
    <w:multiLevelType w:val="multilevel"/>
    <w:tmpl w:val="417CA766"/>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B6A"/>
    <w:rsid w:val="00404B6A"/>
    <w:rsid w:val="00C812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4B0E5"/>
  <w15:docId w15:val="{B4510D85-A09B-458C-9E61-3752546BD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kzJKnhU2rrEdOf1tU8u9DtVnag==">CgMxLjAyDmgudzhvb2JuN25sZXRqMghoLmdqZGd4czIJaC4zMGowemxsMgloLjFmb2I5dGUyCWguM3pueXNoNzIJaC4yZXQ5MnAwMghoLnR5amN3dDgAciExSm1hNmstQTVfVHNueHJXRDNuOGFxRUZ2S0pvWG5BT3U=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1225</Words>
  <Characters>6989</Characters>
  <Application>Microsoft Office Word</Application>
  <DocSecurity>0</DocSecurity>
  <Lines>58</Lines>
  <Paragraphs>16</Paragraphs>
  <ScaleCrop>false</ScaleCrop>
  <Company/>
  <LinksUpToDate>false</LinksUpToDate>
  <CharactersWithSpaces>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Hayward</dc:creator>
  <cp:lastModifiedBy>Ellis Young</cp:lastModifiedBy>
  <cp:revision>2</cp:revision>
  <dcterms:created xsi:type="dcterms:W3CDTF">2022-10-11T15:38:00Z</dcterms:created>
  <dcterms:modified xsi:type="dcterms:W3CDTF">2025-06-04T13:48:00Z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